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F5" w:rsidRPr="00F754CC" w:rsidRDefault="00E146F5" w:rsidP="00E146F5">
      <w:pPr>
        <w:rPr>
          <w:sz w:val="20"/>
          <w:szCs w:val="20"/>
        </w:rPr>
      </w:pPr>
      <w:r w:rsidRPr="00F754CC">
        <w:rPr>
          <w:sz w:val="20"/>
          <w:szCs w:val="20"/>
        </w:rPr>
        <w:t>FICHE PRODUIT</w:t>
      </w:r>
    </w:p>
    <w:p w:rsidR="00E146F5" w:rsidRDefault="007535F6" w:rsidP="00E1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VINAIGRE </w:t>
      </w:r>
      <w:r w:rsidR="004A5C84">
        <w:t>DE CIDRE</w:t>
      </w:r>
      <w:r>
        <w:t xml:space="preserve"> BIOLOGIQUE</w:t>
      </w:r>
    </w:p>
    <w:tbl>
      <w:tblPr>
        <w:tblW w:w="10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3932"/>
        <w:gridCol w:w="1401"/>
        <w:gridCol w:w="1469"/>
        <w:gridCol w:w="1851"/>
        <w:gridCol w:w="1605"/>
      </w:tblGrid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Default="008805EE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81150" cy="238785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NAIGRE_CIDRE_BI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43" cy="239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 du produit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 article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 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produit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</w:tcPr>
          <w:p w:rsidR="00F27C3C" w:rsidRPr="00F8161D" w:rsidRDefault="00F27C3C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 EAN carton</w:t>
            </w:r>
          </w:p>
        </w:tc>
      </w:tr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C3C" w:rsidRPr="00F8161D" w:rsidRDefault="003B19A4" w:rsidP="00880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Vinaigre </w:t>
            </w:r>
            <w:r w:rsidR="008805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 cidre</w:t>
            </w:r>
            <w:r w:rsidR="002674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Biologique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3C" w:rsidRPr="00F8161D" w:rsidRDefault="00F27C3C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outeille</w:t>
            </w:r>
            <w:r w:rsidR="002674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polo</w:t>
            </w:r>
            <w:r w:rsidR="00CB7F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250</w:t>
            </w: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ml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C3C" w:rsidRPr="00F8161D" w:rsidRDefault="002674E2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1V001-B24A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3C" w:rsidRPr="00F8161D" w:rsidRDefault="008805EE" w:rsidP="0088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05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3330149300905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C" w:rsidRPr="00F8161D" w:rsidRDefault="00A94EB5" w:rsidP="00A94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4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3330149360909</w:t>
            </w:r>
          </w:p>
        </w:tc>
      </w:tr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536194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 règlementaire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C3C" w:rsidRPr="00F8161D" w:rsidTr="00AA045F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D2175E" w:rsidP="003F6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5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Vinaigre </w:t>
            </w:r>
            <w:r w:rsidR="00A94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cidre</w:t>
            </w:r>
            <w:r w:rsidR="004153A6" w:rsidRPr="003F5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153A6" w:rsidRPr="004025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issu de l'Agriculture Biologique</w:t>
            </w:r>
          </w:p>
        </w:tc>
      </w:tr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F8567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Origine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C3C" w:rsidRPr="00F8161D" w:rsidTr="00C7301A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E8154F" w:rsidP="003F6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Normandie, France. Issue de la double </w:t>
            </w:r>
            <w:r w:rsidR="003F6B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fermentation des pommes à cidre </w:t>
            </w:r>
            <w:bookmarkStart w:id="0" w:name="_GoBack"/>
            <w:bookmarkEnd w:id="0"/>
            <w:r w:rsidR="003F6BD3" w:rsidRPr="003F5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AOC Calvados (A</w:t>
            </w:r>
            <w:r w:rsidR="003F6B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ppellation d'Origine Contrôlée)</w:t>
            </w:r>
          </w:p>
        </w:tc>
      </w:tr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56F54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Ingrédients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C3C" w:rsidRPr="00F8161D" w:rsidTr="0056063A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FE2" w:rsidRPr="00F8161D" w:rsidRDefault="00A94EB5" w:rsidP="00A94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Vinaigre de cidre* 5°.  </w:t>
            </w:r>
            <w:r w:rsidR="00D2175E" w:rsidRPr="004025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Contient des sulfites.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*Ingrédients issus de l’agriculture biologique.</w:t>
            </w:r>
          </w:p>
        </w:tc>
      </w:tr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3003EA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Profil gustatif</w:t>
            </w:r>
          </w:p>
        </w:tc>
      </w:tr>
      <w:tr w:rsidR="00F27C3C" w:rsidRPr="00F8161D" w:rsidTr="00FE4DA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4153A6" w:rsidP="00E81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5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Issu de la fermentation du cidre, c’est le plus doux des vinaigres.</w:t>
            </w:r>
          </w:p>
        </w:tc>
      </w:tr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992818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Utilisations</w:t>
            </w:r>
          </w:p>
        </w:tc>
      </w:tr>
      <w:tr w:rsidR="00F27C3C" w:rsidRPr="00F8161D" w:rsidTr="008D0997">
        <w:trPr>
          <w:trHeight w:val="8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3C" w:rsidRPr="00F8161D" w:rsidRDefault="00E8154F" w:rsidP="002C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Véritable aide culinaire, il s’incorpore aisément dans la cuisine</w:t>
            </w:r>
            <w:r w:rsidR="00E12E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quotidienne qu’il s’agisse d’assaisonner une salade composée ou d’arroser un poulet en cocotte.</w:t>
            </w:r>
            <w:r w:rsidR="004153A6" w:rsidRPr="003F5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Parfait pour déglacer (foie de veau, gésiers) et assaisonner (salades, crudités…).</w:t>
            </w:r>
          </w:p>
        </w:tc>
      </w:tr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031607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Accords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C3C" w:rsidRPr="00F8161D" w:rsidTr="0023784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4153A6" w:rsidP="00D21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5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 s’associe à nos huiles d’olive vierges extra et à nos huiles aromatisées.</w:t>
            </w:r>
          </w:p>
        </w:tc>
      </w:tr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9473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Durée de vie et conservation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C3C" w:rsidRPr="00F8161D" w:rsidTr="00983CBB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D2175E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5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 de DLUO.</w:t>
            </w:r>
          </w:p>
        </w:tc>
      </w:tr>
      <w:tr w:rsidR="00F27C3C" w:rsidRPr="00F8161D" w:rsidTr="00D041DD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D2175E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25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conserver à l'abri de la lumière et à température ambiante. Bien reboucher après utilisation.</w:t>
            </w:r>
          </w:p>
        </w:tc>
      </w:tr>
      <w:tr w:rsidR="00F27C3C" w:rsidRPr="00F8161D" w:rsidTr="00F27C3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7B4304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Colisage </w:t>
            </w:r>
          </w:p>
        </w:tc>
      </w:tr>
      <w:tr w:rsidR="00F27C3C" w:rsidRPr="00F8161D" w:rsidTr="007A1D4B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Carton de 6 bouteilles.</w:t>
            </w:r>
          </w:p>
        </w:tc>
      </w:tr>
    </w:tbl>
    <w:p w:rsidR="00F8161D" w:rsidRDefault="00F8161D">
      <w:pPr>
        <w:rPr>
          <w:sz w:val="18"/>
          <w:szCs w:val="18"/>
        </w:rPr>
      </w:pPr>
    </w:p>
    <w:sectPr w:rsidR="00F8161D" w:rsidSect="00CC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F3" w:rsidRDefault="004F48F3" w:rsidP="004F48F3">
      <w:pPr>
        <w:spacing w:after="0" w:line="240" w:lineRule="auto"/>
      </w:pPr>
      <w:r>
        <w:separator/>
      </w:r>
    </w:p>
  </w:endnote>
  <w:endnote w:type="continuationSeparator" w:id="0">
    <w:p w:rsidR="004F48F3" w:rsidRDefault="004F48F3" w:rsidP="004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7" w:rsidRDefault="001B50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F3" w:rsidRDefault="004F48F3" w:rsidP="004F48F3">
    <w:pPr>
      <w:pStyle w:val="Pieddepage"/>
    </w:pPr>
    <w:r w:rsidRPr="00F754CC">
      <w:rPr>
        <w:noProof/>
      </w:rPr>
      <w:drawing>
        <wp:inline distT="0" distB="0" distL="0" distR="0">
          <wp:extent cx="1182652" cy="309264"/>
          <wp:effectExtent l="19050" t="0" r="0" b="0"/>
          <wp:docPr id="8" name="Image 5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7291" b="60417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30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center" w:leader="none"/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t>Maison Spéciale pour toutes les huiles</w:t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right" w:leader="none"/>
    </w:r>
    <w:r w:rsidRPr="00F754CC">
      <w:rPr>
        <w:noProof/>
      </w:rPr>
      <w:drawing>
        <wp:inline distT="0" distB="0" distL="0" distR="0">
          <wp:extent cx="1182652" cy="488834"/>
          <wp:effectExtent l="19050" t="0" r="0" b="0"/>
          <wp:docPr id="9" name="Image 6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0625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488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48F3" w:rsidRPr="004F48F3" w:rsidRDefault="004F48F3" w:rsidP="004F48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7" w:rsidRDefault="001B50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F3" w:rsidRDefault="004F48F3" w:rsidP="004F48F3">
      <w:pPr>
        <w:spacing w:after="0" w:line="240" w:lineRule="auto"/>
      </w:pPr>
      <w:r>
        <w:separator/>
      </w:r>
    </w:p>
  </w:footnote>
  <w:footnote w:type="continuationSeparator" w:id="0">
    <w:p w:rsidR="004F48F3" w:rsidRDefault="004F48F3" w:rsidP="004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7" w:rsidRDefault="001B50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7" w:rsidRDefault="001B500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7" w:rsidRDefault="001B50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5"/>
    <w:rsid w:val="00003C90"/>
    <w:rsid w:val="00023BE4"/>
    <w:rsid w:val="00124640"/>
    <w:rsid w:val="001B1C48"/>
    <w:rsid w:val="001B5007"/>
    <w:rsid w:val="0023539C"/>
    <w:rsid w:val="00257BFD"/>
    <w:rsid w:val="002674E2"/>
    <w:rsid w:val="002A10A2"/>
    <w:rsid w:val="002C0250"/>
    <w:rsid w:val="003B19A4"/>
    <w:rsid w:val="003C4046"/>
    <w:rsid w:val="003D41D6"/>
    <w:rsid w:val="003F6BD3"/>
    <w:rsid w:val="00410B70"/>
    <w:rsid w:val="004153A6"/>
    <w:rsid w:val="004256B6"/>
    <w:rsid w:val="004A5C84"/>
    <w:rsid w:val="004F48F3"/>
    <w:rsid w:val="00504880"/>
    <w:rsid w:val="006075E1"/>
    <w:rsid w:val="00633E23"/>
    <w:rsid w:val="00661169"/>
    <w:rsid w:val="00670DB3"/>
    <w:rsid w:val="006733A0"/>
    <w:rsid w:val="007329FA"/>
    <w:rsid w:val="00736452"/>
    <w:rsid w:val="007535F6"/>
    <w:rsid w:val="007F64C2"/>
    <w:rsid w:val="00821257"/>
    <w:rsid w:val="00851193"/>
    <w:rsid w:val="008805EE"/>
    <w:rsid w:val="008E0956"/>
    <w:rsid w:val="008F46CE"/>
    <w:rsid w:val="009D5665"/>
    <w:rsid w:val="00A94EB5"/>
    <w:rsid w:val="00AB3060"/>
    <w:rsid w:val="00B80DD3"/>
    <w:rsid w:val="00BE761F"/>
    <w:rsid w:val="00BF688A"/>
    <w:rsid w:val="00C35338"/>
    <w:rsid w:val="00C84AE9"/>
    <w:rsid w:val="00CB7FE2"/>
    <w:rsid w:val="00CC39AF"/>
    <w:rsid w:val="00D10C87"/>
    <w:rsid w:val="00D2175E"/>
    <w:rsid w:val="00DB2E2F"/>
    <w:rsid w:val="00DC71C9"/>
    <w:rsid w:val="00E12E23"/>
    <w:rsid w:val="00E146F5"/>
    <w:rsid w:val="00E4126F"/>
    <w:rsid w:val="00E8154F"/>
    <w:rsid w:val="00F27C3C"/>
    <w:rsid w:val="00F72583"/>
    <w:rsid w:val="00F8161D"/>
    <w:rsid w:val="00FA53DD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9D61-CB52-4C6F-9EA7-A424F7CF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48F3"/>
  </w:style>
  <w:style w:type="paragraph" w:styleId="Pieddepage">
    <w:name w:val="footer"/>
    <w:basedOn w:val="Normal"/>
    <w:link w:val="PieddepageCar"/>
    <w:uiPriority w:val="99"/>
    <w:semiHidden/>
    <w:unhideWhenUsed/>
    <w:rsid w:val="004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48F3"/>
  </w:style>
  <w:style w:type="paragraph" w:styleId="Textedebulles">
    <w:name w:val="Balloon Text"/>
    <w:basedOn w:val="Normal"/>
    <w:link w:val="TextedebullesCar"/>
    <w:uiPriority w:val="99"/>
    <w:semiHidden/>
    <w:unhideWhenUsed/>
    <w:rsid w:val="004F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Deponge</dc:creator>
  <cp:lastModifiedBy>hubert Varron</cp:lastModifiedBy>
  <cp:revision>4</cp:revision>
  <cp:lastPrinted>2010-11-22T14:39:00Z</cp:lastPrinted>
  <dcterms:created xsi:type="dcterms:W3CDTF">2018-02-14T15:27:00Z</dcterms:created>
  <dcterms:modified xsi:type="dcterms:W3CDTF">2018-02-16T10:51:00Z</dcterms:modified>
</cp:coreProperties>
</file>